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left"/>
        <w:rPr>
          <w:rFonts w:ascii="De Vinne Txt AT" w:hAnsi="De Vinne Txt AT" w:cs="De Vinne Txt AT" w:eastAsia="De Vinne Txt AT"/>
          <w:b/>
          <w:caps w:val="true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40"/>
          <w:shd w:fill="auto" w:val="clear"/>
        </w:rPr>
        <w:t xml:space="preserve">mikroregion  Krá</w:t>
      </w:r>
      <w:r>
        <w:rPr>
          <w:rFonts w:ascii="De Vinne Txt AT" w:hAnsi="De Vinne Txt AT" w:cs="De Vinne Txt AT" w:eastAsia="De Vinne Txt AT"/>
          <w:b/>
          <w:caps w:val="true"/>
          <w:color w:val="auto"/>
          <w:spacing w:val="0"/>
          <w:position w:val="0"/>
          <w:sz w:val="40"/>
          <w:shd w:fill="auto" w:val="clear"/>
        </w:rPr>
        <w:t xml:space="preserve">lovství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</w:pP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Blatec - Brodek u P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erova - Citov - C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Í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SA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Ř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OV - 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elechovice - Dub nad Moravou - Grygov  Charv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á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ty - Ko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š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any - T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áž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aly - Kr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č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ma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ň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 -  Majet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í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n    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</w:pP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Suchonice  - Velký Týnec - V</w:t>
      </w: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18"/>
          <w:shd w:fill="auto" w:val="clear"/>
        </w:rPr>
        <w:t xml:space="preserve">ě</w:t>
      </w:r>
      <w:r>
        <w:rPr>
          <w:rFonts w:ascii="De Vinne Txt AT" w:hAnsi="De Vinne Txt AT" w:cs="De Vinne Txt AT" w:eastAsia="De Vinne Txt AT"/>
          <w:caps w:val="true"/>
          <w:color w:val="auto"/>
          <w:spacing w:val="0"/>
          <w:position w:val="0"/>
          <w:sz w:val="18"/>
          <w:shd w:fill="auto" w:val="clear"/>
        </w:rPr>
        <w:t xml:space="preserve">rovany</w:t>
      </w:r>
    </w:p>
    <w:p>
      <w:pPr>
        <w:keepNext w:val="true"/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  <w:t xml:space="preserve">Výpis usnesení  </w:t>
      </w:r>
    </w:p>
    <w:p>
      <w:pPr>
        <w:keepNext w:val="true"/>
        <w:tabs>
          <w:tab w:val="left" w:pos="1440" w:leader="none"/>
          <w:tab w:val="left" w:pos="2880" w:leader="none"/>
          <w:tab w:val="left" w:pos="3600" w:leader="none"/>
        </w:tabs>
        <w:suppressAutoHyphens w:val="true"/>
        <w:spacing w:before="0" w:after="0" w:line="240"/>
        <w:ind w:right="0" w:left="288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  <w:t xml:space="preserve">z 30. valné hromady                  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  <w:t xml:space="preserve">Sdružení obcí mikroregionu Království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Volební období 2010 - 2014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konaného dne 28. listopadu 2013 v obci Suchonice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Valná hromada po projednání p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řijala usnesení č.: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1/30/2013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VH schvaluje program jednání 30. valné hromady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2/30/2013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VH bere na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ědomí informace starostky J. Růžičkové o obci Suchonice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3/30/2013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VH schvaluje kontrolu usnesení  z  29. valné hromady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4/30/2013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VH bere na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ědomí přípravu rozpočtu sdružení na rok 2014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5/30/2013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VH bere na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ědomí prezentaci spol. Technické služby města Olomouce, a.s.                                    </w:t>
      </w:r>
    </w:p>
    <w:p>
      <w:pPr>
        <w:spacing w:before="24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6/30/2013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VH bere na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ědomí zkušenosti starostů obcí s veřejnými aukcemi na energie pro občany a možnost zapojení do společné aukce ještě v letošním roce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7/30/2013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VH bere na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ědomí prezentaci fy AVICENNA Company, spol. s.r.o. s možností zřízení bezpečnostních prvků na přechody pro chodce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8/30/2013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VH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čtové opatření č. 5/2013 dle předloženého návrhu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9/30/2013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VH ukládá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ředsedům finančního a kontrolního výboru uskutečnit kontroly činnosti mikroregionu do konce roku 2013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Suchonicích dne 28.11.2013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Zapsala: Jitka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ůžičková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Miroslava Zavadilová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ředsedkyně sdružení v.r.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